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b w:val="1"/>
          <w:sz w:val="48"/>
          <w:szCs w:val="48"/>
          <w:rtl w:val="0"/>
        </w:rPr>
        <w:t xml:space="preserve">Planting and Growing!</w:t>
      </w:r>
    </w:p>
    <w:p w:rsidR="00000000" w:rsidDel="00000000" w:rsidP="00000000" w:rsidRDefault="00000000" w:rsidRPr="00000000">
      <w:pPr>
        <w:contextualSpacing w:val="0"/>
        <w:jc w:val="center"/>
        <w:rPr>
          <w:sz w:val="16"/>
          <w:szCs w:val="16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3267075" cy="1967814"/>
            <wp:effectExtent b="0" l="0" r="0" t="0"/>
            <wp:docPr descr="Image result for plant growth" id="1" name="image2.png"/>
            <a:graphic>
              <a:graphicData uri="http://schemas.openxmlformats.org/drawingml/2006/picture">
                <pic:pic>
                  <pic:nvPicPr>
                    <pic:cNvPr descr="Image result for plant growth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9678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Quicksand" w:cs="Quicksand" w:eastAsia="Quicksand" w:hAnsi="Quicksand"/>
          <w:sz w:val="22"/>
          <w:szCs w:val="22"/>
        </w:rPr>
      </w:pPr>
      <w:r w:rsidDel="00000000" w:rsidR="00000000" w:rsidRPr="00000000">
        <w:rPr>
          <w:rFonts w:ascii="Quicksand" w:cs="Quicksand" w:eastAsia="Quicksand" w:hAnsi="Quicksand"/>
          <w:sz w:val="22"/>
          <w:szCs w:val="22"/>
          <w:rtl w:val="0"/>
        </w:rPr>
        <w:t xml:space="preserve">Draw a plant with roots!</w:t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Schoolbell" w:cs="Schoolbell" w:eastAsia="Schoolbell" w:hAnsi="Schoolbel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Schoolbell" w:cs="Schoolbell" w:eastAsia="Schoolbell" w:hAnsi="Schoolbel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Schoolbell" w:cs="Schoolbell" w:eastAsia="Schoolbell" w:hAnsi="Schoolbel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Schoolbell" w:cs="Schoolbell" w:eastAsia="Schoolbell" w:hAnsi="Schoolbel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Schoolbell" w:cs="Schoolbell" w:eastAsia="Schoolbell" w:hAnsi="Schoolbel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Schoolbell" w:cs="Schoolbell" w:eastAsia="Schoolbell" w:hAnsi="Schoolbell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Schoolbell" w:cs="Schoolbell" w:eastAsia="Schoolbell" w:hAnsi="Schoolbell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Schoolbell" w:cs="Schoolbell" w:eastAsia="Schoolbell" w:hAnsi="Schoolbell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Schoolbell" w:cs="Schoolbell" w:eastAsia="Schoolbell" w:hAnsi="Schoolbell"/>
              </w:rPr>
            </w:pPr>
            <w:r w:rsidDel="00000000" w:rsidR="00000000" w:rsidRPr="00000000">
              <w:rPr>
                <w:rFonts w:ascii="Schoolbell" w:cs="Schoolbell" w:eastAsia="Schoolbell" w:hAnsi="Schoolbell"/>
                <w:sz w:val="72"/>
                <w:szCs w:val="72"/>
              </w:rPr>
              <mc:AlternateContent>
                <mc:Choice Requires="wpg">
                  <w:drawing>
                    <wp:inline distB="114300" distT="114300" distL="114300" distR="114300">
                      <wp:extent cx="5566812" cy="1746083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23825" y="1602250"/>
                                <a:ext cx="5566812" cy="1746083"/>
                                <a:chOff x="123825" y="1602250"/>
                                <a:chExt cx="5629275" cy="1750550"/>
                              </a:xfrm>
                            </wpg:grpSpPr>
                            <pic:pic>
                              <pic:nvPicPr>
                                <pic:cNvPr id="2" name="Shape 2"/>
                                <pic:cNvPicPr preferRelativeResize="0"/>
                              </pic:nvPicPr>
                              <pic:blipFill/>
                              <pic:spPr>
                                <a:xfrm>
                                  <a:off x="123825" y="1602250"/>
                                  <a:ext cx="1933575" cy="175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3" name="Shape 3"/>
                                <pic:cNvPicPr preferRelativeResize="0"/>
                              </pic:nvPicPr>
                              <pic:blipFill/>
                              <pic:spPr>
                                <a:xfrm>
                                  <a:off x="2057400" y="1602250"/>
                                  <a:ext cx="1876424" cy="175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4" name="Shape 4"/>
                                <pic:cNvPicPr preferRelativeResize="0"/>
                              </pic:nvPicPr>
                              <pic:blipFill/>
                              <pic:spPr>
                                <a:xfrm>
                                  <a:off x="3933825" y="1602250"/>
                                  <a:ext cx="1819275" cy="175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5566812" cy="1746083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6812" cy="174608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b w:val="1"/>
          <w:sz w:val="48"/>
          <w:szCs w:val="48"/>
          <w:rtl w:val="0"/>
        </w:rPr>
        <w:t xml:space="preserve">My plant has _________________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Quicksand" w:cs="Quicksand" w:eastAsia="Quicksand" w:hAnsi="Quicksand"/>
          <w:b w:val="1"/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b w:val="1"/>
          <w:sz w:val="48"/>
          <w:szCs w:val="48"/>
          <w:rtl w:val="0"/>
        </w:rPr>
        <w:t xml:space="preserve">__________________________.</w:t>
      </w:r>
    </w:p>
    <w:sectPr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Quicksand">
    <w:embedRegular w:fontKey="{00000000-0000-0000-0000-000000000000}" r:id="rId1" w:subsetted="0"/>
    <w:embedBold w:fontKey="{00000000-0000-0000-0000-000000000000}" r:id="rId2" w:subsetted="0"/>
  </w:font>
  <w:font w:name="Schoolbell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Schoolbel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